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62D" w:rsidRDefault="00592D64">
      <w:pPr>
        <w:contextualSpacing w:val="0"/>
        <w:jc w:val="center"/>
        <w:rPr>
          <w:rFonts w:ascii="Calibri" w:eastAsia="Calibri" w:hAnsi="Calibri" w:cs="Calibri"/>
          <w:b/>
          <w:color w:val="1C1D1E"/>
          <w:sz w:val="24"/>
          <w:szCs w:val="24"/>
          <w:highlight w:val="white"/>
        </w:rPr>
      </w:pPr>
      <w:r>
        <w:rPr>
          <w:rFonts w:ascii="Calibri" w:eastAsia="Calibri" w:hAnsi="Calibri" w:cs="Calibri"/>
          <w:b/>
          <w:color w:val="1C1D1E"/>
          <w:sz w:val="24"/>
          <w:szCs w:val="24"/>
          <w:highlight w:val="white"/>
        </w:rPr>
        <w:t>Poster to Budapest CEU Conference on Cognitive Development, 2019</w:t>
      </w:r>
    </w:p>
    <w:p w:rsidR="0033062D" w:rsidRDefault="0033062D">
      <w:pPr>
        <w:contextualSpacing w:val="0"/>
        <w:jc w:val="center"/>
        <w:rPr>
          <w:rFonts w:ascii="Times New Roman" w:eastAsia="Times New Roman" w:hAnsi="Times New Roman" w:cs="Times New Roman"/>
          <w:b/>
          <w:color w:val="1C1D1E"/>
          <w:sz w:val="24"/>
          <w:szCs w:val="24"/>
          <w:highlight w:val="white"/>
        </w:rPr>
      </w:pPr>
    </w:p>
    <w:p w:rsidR="0033062D" w:rsidRDefault="0033062D">
      <w:pPr>
        <w:contextualSpacing w:val="0"/>
        <w:jc w:val="center"/>
        <w:rPr>
          <w:rFonts w:ascii="Times New Roman" w:eastAsia="Times New Roman" w:hAnsi="Times New Roman" w:cs="Times New Roman"/>
          <w:b/>
          <w:color w:val="1C1D1E"/>
          <w:sz w:val="24"/>
          <w:szCs w:val="24"/>
          <w:highlight w:val="white"/>
        </w:rPr>
      </w:pPr>
    </w:p>
    <w:p w:rsidR="0033062D" w:rsidRDefault="00592D64">
      <w:pPr>
        <w:contextualSpacing w:val="0"/>
        <w:jc w:val="center"/>
        <w:rPr>
          <w:rFonts w:ascii="Times New Roman" w:eastAsia="Times New Roman" w:hAnsi="Times New Roman" w:cs="Times New Roman"/>
          <w:b/>
          <w:color w:val="1C1D1E"/>
          <w:sz w:val="24"/>
          <w:szCs w:val="24"/>
          <w:highlight w:val="white"/>
        </w:rPr>
      </w:pPr>
      <w:bookmarkStart w:id="0" w:name="_GoBack"/>
      <w:r>
        <w:rPr>
          <w:rFonts w:ascii="Times New Roman" w:eastAsia="Times New Roman" w:hAnsi="Times New Roman" w:cs="Times New Roman"/>
          <w:b/>
          <w:color w:val="1C1D1E"/>
          <w:sz w:val="24"/>
          <w:szCs w:val="24"/>
          <w:highlight w:val="white"/>
        </w:rPr>
        <w:t>Improving transfer of inductive rules through familiar names in adults and children</w:t>
      </w:r>
    </w:p>
    <w:p w:rsidR="0033062D" w:rsidRDefault="0033062D">
      <w:pPr>
        <w:contextualSpacing w:val="0"/>
        <w:rPr>
          <w:rFonts w:ascii="Times New Roman" w:eastAsia="Times New Roman" w:hAnsi="Times New Roman" w:cs="Times New Roman"/>
          <w:color w:val="1C1D1E"/>
          <w:sz w:val="24"/>
          <w:szCs w:val="24"/>
          <w:highlight w:val="white"/>
        </w:rPr>
      </w:pPr>
    </w:p>
    <w:p w:rsidR="0033062D" w:rsidRDefault="00592D64">
      <w:pPr>
        <w:contextualSpacing w:val="0"/>
        <w:jc w:val="cente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1C1D1E"/>
          <w:sz w:val="24"/>
          <w:szCs w:val="24"/>
          <w:highlight w:val="white"/>
        </w:rPr>
        <w:t>Sudorgina Y., Kotov A.</w:t>
      </w:r>
    </w:p>
    <w:bookmarkEnd w:id="0"/>
    <w:p w:rsidR="0033062D" w:rsidRDefault="0033062D">
      <w:pPr>
        <w:contextualSpacing w:val="0"/>
        <w:jc w:val="both"/>
        <w:rPr>
          <w:rFonts w:ascii="Times New Roman" w:eastAsia="Times New Roman" w:hAnsi="Times New Roman" w:cs="Times New Roman"/>
          <w:color w:val="222222"/>
          <w:sz w:val="24"/>
          <w:szCs w:val="24"/>
          <w:highlight w:val="white"/>
        </w:rPr>
      </w:pPr>
    </w:p>
    <w:p w:rsidR="0033062D" w:rsidRDefault="00592D64">
      <w:pPr>
        <w:contextualSpacing w:val="0"/>
        <w:jc w:val="both"/>
        <w:rPr>
          <w:rFonts w:ascii="Times New Roman" w:eastAsia="Times New Roman" w:hAnsi="Times New Roman" w:cs="Times New Roman"/>
          <w:color w:val="1C1D1E"/>
          <w:sz w:val="24"/>
          <w:szCs w:val="24"/>
          <w:highlight w:val="white"/>
        </w:rPr>
      </w:pPr>
      <w:r>
        <w:rPr>
          <w:rFonts w:ascii="Times New Roman" w:eastAsia="Times New Roman" w:hAnsi="Times New Roman" w:cs="Times New Roman"/>
          <w:color w:val="1C1D1E"/>
          <w:sz w:val="24"/>
          <w:szCs w:val="24"/>
          <w:highlight w:val="white"/>
        </w:rPr>
        <w:t xml:space="preserve">Inductive reasoning involves making predictions about novel objects or situations based on existing knowledge. </w:t>
      </w:r>
    </w:p>
    <w:p w:rsidR="0033062D" w:rsidRDefault="0033062D">
      <w:pPr>
        <w:contextualSpacing w:val="0"/>
        <w:jc w:val="both"/>
        <w:rPr>
          <w:rFonts w:ascii="Times New Roman" w:eastAsia="Times New Roman" w:hAnsi="Times New Roman" w:cs="Times New Roman"/>
          <w:color w:val="1C1D1E"/>
          <w:sz w:val="24"/>
          <w:szCs w:val="24"/>
          <w:highlight w:val="white"/>
        </w:rPr>
      </w:pPr>
    </w:p>
    <w:p w:rsidR="0033062D" w:rsidRDefault="00592D64">
      <w:pPr>
        <w:contextualSpacing w:val="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1C1D1E"/>
          <w:sz w:val="24"/>
          <w:szCs w:val="24"/>
          <w:highlight w:val="white"/>
        </w:rPr>
        <w:t>Recent research showed that using verbalization when solving category induction tasks (“Bongard problems”) enhanced task solution transfer to s</w:t>
      </w:r>
      <w:r>
        <w:rPr>
          <w:rFonts w:ascii="Times New Roman" w:eastAsia="Times New Roman" w:hAnsi="Times New Roman" w:cs="Times New Roman"/>
          <w:color w:val="1C1D1E"/>
          <w:sz w:val="24"/>
          <w:szCs w:val="24"/>
          <w:highlight w:val="white"/>
        </w:rPr>
        <w:t xml:space="preserve">imilar tasks in comparison with solving tasks tacitly </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Sulic,Lupyan</w:t>
      </w:r>
      <w:proofErr w:type="gramEnd"/>
      <w:r>
        <w:rPr>
          <w:rFonts w:ascii="Times New Roman" w:eastAsia="Times New Roman" w:hAnsi="Times New Roman" w:cs="Times New Roman"/>
          <w:sz w:val="24"/>
          <w:szCs w:val="24"/>
        </w:rPr>
        <w:t>,2018)</w:t>
      </w:r>
      <w:r>
        <w:rPr>
          <w:rFonts w:ascii="Times New Roman" w:eastAsia="Times New Roman" w:hAnsi="Times New Roman" w:cs="Times New Roman"/>
          <w:color w:val="1C1D1E"/>
          <w:sz w:val="24"/>
          <w:szCs w:val="24"/>
          <w:highlight w:val="white"/>
        </w:rPr>
        <w:t>.</w:t>
      </w:r>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The  present</w:t>
      </w:r>
      <w:proofErr w:type="gramEnd"/>
      <w:r>
        <w:rPr>
          <w:rFonts w:ascii="Times New Roman" w:eastAsia="Times New Roman" w:hAnsi="Times New Roman" w:cs="Times New Roman"/>
          <w:color w:val="222222"/>
          <w:sz w:val="24"/>
          <w:szCs w:val="24"/>
          <w:highlight w:val="white"/>
        </w:rPr>
        <w:t xml:space="preserve">  study examined the  naming factor  that  facilitate the learning and transfer of inductive rules knowledge. We manipulated the language with which children and adults </w:t>
      </w:r>
      <w:r>
        <w:rPr>
          <w:rFonts w:ascii="Times New Roman" w:eastAsia="Times New Roman" w:hAnsi="Times New Roman" w:cs="Times New Roman"/>
          <w:color w:val="222222"/>
          <w:sz w:val="24"/>
          <w:szCs w:val="24"/>
          <w:highlight w:val="white"/>
        </w:rPr>
        <w:t xml:space="preserve">were exposed to novel rules during training. In </w:t>
      </w:r>
      <w:r>
        <w:rPr>
          <w:rFonts w:ascii="Times New Roman" w:eastAsia="Times New Roman" w:hAnsi="Times New Roman" w:cs="Times New Roman"/>
          <w:i/>
          <w:color w:val="222222"/>
          <w:sz w:val="24"/>
          <w:szCs w:val="24"/>
          <w:highlight w:val="white"/>
        </w:rPr>
        <w:t>abstract</w:t>
      </w:r>
      <w:r>
        <w:rPr>
          <w:rFonts w:ascii="Times New Roman" w:eastAsia="Times New Roman" w:hAnsi="Times New Roman" w:cs="Times New Roman"/>
          <w:color w:val="222222"/>
          <w:sz w:val="24"/>
          <w:szCs w:val="24"/>
          <w:highlight w:val="white"/>
        </w:rPr>
        <w:t xml:space="preserve"> condition participants saw 18 problems which rules was formulated in geometric terms (e.g., ‘Similar figures’) and defined which set of instances refer to. In </w:t>
      </w:r>
      <w:r>
        <w:rPr>
          <w:rFonts w:ascii="Times New Roman" w:eastAsia="Times New Roman" w:hAnsi="Times New Roman" w:cs="Times New Roman"/>
          <w:i/>
          <w:color w:val="222222"/>
          <w:sz w:val="24"/>
          <w:szCs w:val="24"/>
          <w:highlight w:val="white"/>
        </w:rPr>
        <w:t>concrete</w:t>
      </w:r>
      <w:r>
        <w:rPr>
          <w:rFonts w:ascii="Times New Roman" w:eastAsia="Times New Roman" w:hAnsi="Times New Roman" w:cs="Times New Roman"/>
          <w:color w:val="222222"/>
          <w:sz w:val="24"/>
          <w:szCs w:val="24"/>
          <w:highlight w:val="white"/>
        </w:rPr>
        <w:t xml:space="preserve"> condition the same problems were presented with rules formulated in familiar words (e.g. ‘Figures reflect in the mirror’). Test phase included similar problems but with new instances, so participants should transfer the rules they learn earlier. We found </w:t>
      </w:r>
      <w:r>
        <w:rPr>
          <w:rFonts w:ascii="Times New Roman" w:eastAsia="Times New Roman" w:hAnsi="Times New Roman" w:cs="Times New Roman"/>
          <w:color w:val="222222"/>
          <w:sz w:val="24"/>
          <w:szCs w:val="24"/>
          <w:highlight w:val="white"/>
        </w:rPr>
        <w:t xml:space="preserve">that adults and 10-year-old children in </w:t>
      </w:r>
      <w:r>
        <w:rPr>
          <w:rFonts w:ascii="Times New Roman" w:eastAsia="Times New Roman" w:hAnsi="Times New Roman" w:cs="Times New Roman"/>
          <w:i/>
          <w:color w:val="222222"/>
          <w:sz w:val="24"/>
          <w:szCs w:val="24"/>
          <w:highlight w:val="white"/>
        </w:rPr>
        <w:t>concrete</w:t>
      </w:r>
      <w:r>
        <w:rPr>
          <w:rFonts w:ascii="Times New Roman" w:eastAsia="Times New Roman" w:hAnsi="Times New Roman" w:cs="Times New Roman"/>
          <w:color w:val="222222"/>
          <w:sz w:val="24"/>
          <w:szCs w:val="24"/>
          <w:highlight w:val="white"/>
        </w:rPr>
        <w:t xml:space="preserve"> condition performed better in transfer task. There </w:t>
      </w:r>
      <w:proofErr w:type="gramStart"/>
      <w:r>
        <w:rPr>
          <w:rFonts w:ascii="Times New Roman" w:eastAsia="Times New Roman" w:hAnsi="Times New Roman" w:cs="Times New Roman"/>
          <w:color w:val="222222"/>
          <w:sz w:val="24"/>
          <w:szCs w:val="24"/>
          <w:highlight w:val="white"/>
        </w:rPr>
        <w:t>were</w:t>
      </w:r>
      <w:proofErr w:type="gramEnd"/>
      <w:r>
        <w:rPr>
          <w:rFonts w:ascii="Times New Roman" w:eastAsia="Times New Roman" w:hAnsi="Times New Roman" w:cs="Times New Roman"/>
          <w:color w:val="222222"/>
          <w:sz w:val="24"/>
          <w:szCs w:val="24"/>
          <w:highlight w:val="white"/>
        </w:rPr>
        <w:t xml:space="preserve"> no difference between concrete and abstract conditions amongst 7-year-olds. </w:t>
      </w:r>
      <w:proofErr w:type="gramStart"/>
      <w:r>
        <w:rPr>
          <w:rFonts w:ascii="Times New Roman" w:eastAsia="Times New Roman" w:hAnsi="Times New Roman" w:cs="Times New Roman"/>
          <w:color w:val="222222"/>
          <w:sz w:val="24"/>
          <w:szCs w:val="24"/>
          <w:highlight w:val="white"/>
        </w:rPr>
        <w:t>It  seems</w:t>
      </w:r>
      <w:proofErr w:type="gramEnd"/>
      <w:r>
        <w:rPr>
          <w:rFonts w:ascii="Times New Roman" w:eastAsia="Times New Roman" w:hAnsi="Times New Roman" w:cs="Times New Roman"/>
          <w:color w:val="222222"/>
          <w:sz w:val="24"/>
          <w:szCs w:val="24"/>
          <w:highlight w:val="white"/>
        </w:rPr>
        <w:t xml:space="preserve"> that the use of more concrete language directed adult’s and older</w:t>
      </w:r>
      <w:r>
        <w:rPr>
          <w:rFonts w:ascii="Times New Roman" w:eastAsia="Times New Roman" w:hAnsi="Times New Roman" w:cs="Times New Roman"/>
          <w:color w:val="222222"/>
          <w:sz w:val="24"/>
          <w:szCs w:val="24"/>
          <w:highlight w:val="white"/>
        </w:rPr>
        <w:t xml:space="preserve"> children’s attention to the better memory during recognizing novel instances of inductive rules. </w:t>
      </w:r>
    </w:p>
    <w:p w:rsidR="0033062D" w:rsidRDefault="00592D64">
      <w:pPr>
        <w:contextualSpacing w:val="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The research was prepared within the framework of the Academic Fund Program at the National Research University Higher School of Economics (HSE) in 2018 (gra</w:t>
      </w:r>
      <w:r>
        <w:rPr>
          <w:rFonts w:ascii="Times New Roman" w:eastAsia="Times New Roman" w:hAnsi="Times New Roman" w:cs="Times New Roman"/>
          <w:color w:val="222222"/>
          <w:sz w:val="24"/>
          <w:szCs w:val="24"/>
          <w:highlight w:val="white"/>
        </w:rPr>
        <w:t>nt № 18-05-0001) and by the Russian Academic Excellence Project "5-100".</w:t>
      </w:r>
    </w:p>
    <w:p w:rsidR="0033062D" w:rsidRDefault="0033062D">
      <w:pPr>
        <w:contextualSpacing w:val="0"/>
        <w:jc w:val="both"/>
        <w:rPr>
          <w:rFonts w:ascii="Times New Roman" w:eastAsia="Times New Roman" w:hAnsi="Times New Roman" w:cs="Times New Roman"/>
          <w:color w:val="222222"/>
          <w:sz w:val="24"/>
          <w:szCs w:val="24"/>
          <w:highlight w:val="white"/>
        </w:rPr>
      </w:pPr>
    </w:p>
    <w:p w:rsidR="0033062D" w:rsidRDefault="0033062D">
      <w:pPr>
        <w:contextualSpacing w:val="0"/>
        <w:jc w:val="both"/>
        <w:rPr>
          <w:rFonts w:ascii="Times New Roman" w:eastAsia="Times New Roman" w:hAnsi="Times New Roman" w:cs="Times New Roman"/>
          <w:color w:val="222222"/>
          <w:sz w:val="24"/>
          <w:szCs w:val="24"/>
          <w:highlight w:val="white"/>
        </w:rPr>
      </w:pPr>
    </w:p>
    <w:sectPr w:rsidR="0033062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33062D"/>
    <w:rsid w:val="0033062D"/>
    <w:rsid w:val="00592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14E6CAE"/>
  <w15:docId w15:val="{6D37A97F-8C82-3945-B65F-3EC6661F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ru-RU"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Alexey Kotov</cp:lastModifiedBy>
  <cp:revision>2</cp:revision>
  <dcterms:created xsi:type="dcterms:W3CDTF">2018-10-24T11:48:00Z</dcterms:created>
  <dcterms:modified xsi:type="dcterms:W3CDTF">2018-10-24T11:48:00Z</dcterms:modified>
</cp:coreProperties>
</file>