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DD0" w:rsidRPr="000367E8" w:rsidRDefault="000367E8">
      <w:pPr>
        <w:spacing w:line="240" w:lineRule="auto"/>
        <w:contextualSpacing w:val="0"/>
        <w:jc w:val="both"/>
        <w:rPr>
          <w:rFonts w:asciiTheme="majorHAnsi" w:hAnsiTheme="majorHAnsi" w:cstheme="majorHAnsi"/>
        </w:rPr>
      </w:pPr>
      <w:r w:rsidRPr="000367E8">
        <w:rPr>
          <w:rFonts w:asciiTheme="majorHAnsi" w:hAnsiTheme="majorHAnsi" w:cstheme="majorHAnsi"/>
        </w:rPr>
        <w:t>Winter Neurolinguistics School 2018: Aspects of Bilingualism: neuro-, psycho- and sociolinguistic approaches to bilingual studies. Poster session. Moscow. HSE. November 21-23, 2018.</w:t>
      </w:r>
    </w:p>
    <w:p w:rsidR="00583DD0" w:rsidRPr="000367E8" w:rsidRDefault="00583DD0">
      <w:pPr>
        <w:spacing w:line="240" w:lineRule="auto"/>
        <w:contextualSpacing w:val="0"/>
        <w:jc w:val="both"/>
        <w:rPr>
          <w:rFonts w:asciiTheme="majorHAnsi" w:hAnsiTheme="majorHAnsi" w:cstheme="majorHAnsi"/>
        </w:rPr>
      </w:pPr>
    </w:p>
    <w:p w:rsidR="00583DD0" w:rsidRPr="000367E8" w:rsidRDefault="00165FF1">
      <w:pPr>
        <w:spacing w:line="240" w:lineRule="auto"/>
        <w:contextualSpacing w:val="0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0367E8">
        <w:rPr>
          <w:rFonts w:asciiTheme="majorHAnsi" w:eastAsia="Times New Roman" w:hAnsiTheme="majorHAnsi" w:cstheme="majorHAnsi"/>
          <w:b/>
          <w:sz w:val="24"/>
          <w:szCs w:val="24"/>
          <w:highlight w:val="white"/>
        </w:rPr>
        <w:t>Namable spa</w:t>
      </w:r>
      <w:r w:rsidRPr="000367E8">
        <w:rPr>
          <w:rFonts w:asciiTheme="majorHAnsi" w:eastAsia="Times New Roman" w:hAnsiTheme="majorHAnsi" w:cstheme="majorHAnsi"/>
          <w:b/>
          <w:sz w:val="24"/>
          <w:szCs w:val="24"/>
          <w:highlight w:val="white"/>
        </w:rPr>
        <w:t>tial features improve category learning</w:t>
      </w:r>
    </w:p>
    <w:p w:rsidR="00583DD0" w:rsidRPr="000367E8" w:rsidRDefault="00165FF1">
      <w:pPr>
        <w:spacing w:before="360" w:line="240" w:lineRule="auto"/>
        <w:contextualSpacing w:val="0"/>
        <w:jc w:val="center"/>
        <w:rPr>
          <w:rFonts w:asciiTheme="majorHAnsi" w:eastAsia="Times New Roman" w:hAnsiTheme="majorHAnsi" w:cstheme="majorHAnsi"/>
          <w:i/>
          <w:sz w:val="24"/>
          <w:szCs w:val="24"/>
        </w:rPr>
      </w:pPr>
      <w:r w:rsidRPr="000367E8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0367E8">
        <w:rPr>
          <w:rFonts w:asciiTheme="majorHAnsi" w:eastAsia="Times New Roman" w:hAnsiTheme="majorHAnsi" w:cstheme="majorHAnsi"/>
          <w:i/>
          <w:sz w:val="24"/>
          <w:szCs w:val="24"/>
        </w:rPr>
        <w:t>Zherdeva Maria, Kotov Alexey</w:t>
      </w:r>
    </w:p>
    <w:p w:rsidR="00583DD0" w:rsidRPr="000367E8" w:rsidRDefault="00165FF1">
      <w:pPr>
        <w:spacing w:before="360" w:line="240" w:lineRule="auto"/>
        <w:contextualSpacing w:val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367E8">
        <w:rPr>
          <w:rFonts w:asciiTheme="majorHAnsi" w:eastAsia="Times New Roman" w:hAnsiTheme="majorHAnsi" w:cstheme="majorHAnsi"/>
          <w:sz w:val="24"/>
          <w:szCs w:val="24"/>
        </w:rPr>
        <w:t xml:space="preserve">What is the relationship between </w:t>
      </w:r>
      <w:bookmarkStart w:id="0" w:name="_GoBack"/>
      <w:bookmarkEnd w:id="0"/>
      <w:r w:rsidRPr="000367E8">
        <w:rPr>
          <w:rFonts w:asciiTheme="majorHAnsi" w:eastAsia="Times New Roman" w:hAnsiTheme="majorHAnsi" w:cstheme="majorHAnsi"/>
          <w:sz w:val="24"/>
          <w:szCs w:val="24"/>
        </w:rPr>
        <w:t xml:space="preserve">mental lexicon and cognition? A recent study </w:t>
      </w:r>
      <w:hyperlink r:id="rId6">
        <w:r w:rsidRPr="000367E8">
          <w:rPr>
            <w:rFonts w:asciiTheme="majorHAnsi" w:eastAsia="Times New Roman" w:hAnsiTheme="majorHAnsi" w:cstheme="majorHAnsi"/>
            <w:sz w:val="24"/>
            <w:szCs w:val="24"/>
          </w:rPr>
          <w:t>(Zettersten &amp; Lupyan, 2018)</w:t>
        </w:r>
      </w:hyperlink>
      <w:r w:rsidRPr="000367E8">
        <w:rPr>
          <w:rFonts w:asciiTheme="majorHAnsi" w:eastAsia="Times New Roman" w:hAnsiTheme="majorHAnsi" w:cstheme="majorHAnsi"/>
          <w:sz w:val="24"/>
          <w:szCs w:val="24"/>
        </w:rPr>
        <w:t xml:space="preserve"> showed  that category features can be named influence category learning: when underlying features of the category were easy to name, participants were faster and more accurate in learning the novel category. In our experiment we extended these findings.  </w:t>
      </w:r>
      <w:r w:rsidRPr="000367E8">
        <w:rPr>
          <w:rFonts w:asciiTheme="majorHAnsi" w:eastAsia="Times New Roman" w:hAnsiTheme="majorHAnsi" w:cstheme="majorHAnsi"/>
          <w:sz w:val="24"/>
          <w:szCs w:val="24"/>
        </w:rPr>
        <w:t>The nameable feature in our experiment was spatial location of different images. Participants (adults (N= 59) should learn new category. One group (</w:t>
      </w:r>
      <w:r w:rsidRPr="000367E8">
        <w:rPr>
          <w:rFonts w:asciiTheme="majorHAnsi" w:eastAsia="Times New Roman" w:hAnsiTheme="majorHAnsi" w:cstheme="majorHAnsi"/>
          <w:i/>
          <w:sz w:val="24"/>
          <w:szCs w:val="24"/>
        </w:rPr>
        <w:t>high</w:t>
      </w:r>
      <w:r w:rsidRPr="000367E8">
        <w:rPr>
          <w:rFonts w:asciiTheme="majorHAnsi" w:eastAsia="Times New Roman" w:hAnsiTheme="majorHAnsi" w:cstheme="majorHAnsi"/>
          <w:sz w:val="24"/>
          <w:szCs w:val="24"/>
        </w:rPr>
        <w:t xml:space="preserve"> nameability)  was shown  images in more-namable places on a foot silhouette (e.g; “heel”). The other gr</w:t>
      </w:r>
      <w:r w:rsidRPr="000367E8">
        <w:rPr>
          <w:rFonts w:asciiTheme="majorHAnsi" w:eastAsia="Times New Roman" w:hAnsiTheme="majorHAnsi" w:cstheme="majorHAnsi"/>
          <w:sz w:val="24"/>
          <w:szCs w:val="24"/>
        </w:rPr>
        <w:t>oup (</w:t>
      </w:r>
      <w:r w:rsidRPr="000367E8">
        <w:rPr>
          <w:rFonts w:asciiTheme="majorHAnsi" w:eastAsia="Times New Roman" w:hAnsiTheme="majorHAnsi" w:cstheme="majorHAnsi"/>
          <w:i/>
          <w:sz w:val="24"/>
          <w:szCs w:val="24"/>
        </w:rPr>
        <w:t>low</w:t>
      </w:r>
      <w:r w:rsidRPr="000367E8">
        <w:rPr>
          <w:rFonts w:asciiTheme="majorHAnsi" w:eastAsia="Times New Roman" w:hAnsiTheme="majorHAnsi" w:cstheme="majorHAnsi"/>
          <w:sz w:val="24"/>
          <w:szCs w:val="24"/>
        </w:rPr>
        <w:t xml:space="preserve"> nameability) was shown images in places without common names (e.g.; “vault”). The category rule combined relevant image and place. We have found that adults participants were learning new category faster in  </w:t>
      </w:r>
      <w:r w:rsidRPr="000367E8">
        <w:rPr>
          <w:rFonts w:asciiTheme="majorHAnsi" w:eastAsia="Times New Roman" w:hAnsiTheme="majorHAnsi" w:cstheme="majorHAnsi"/>
          <w:i/>
          <w:sz w:val="24"/>
          <w:szCs w:val="24"/>
        </w:rPr>
        <w:t>high</w:t>
      </w:r>
      <w:r w:rsidRPr="000367E8">
        <w:rPr>
          <w:rFonts w:asciiTheme="majorHAnsi" w:eastAsia="Times New Roman" w:hAnsiTheme="majorHAnsi" w:cstheme="majorHAnsi"/>
          <w:sz w:val="24"/>
          <w:szCs w:val="24"/>
        </w:rPr>
        <w:t xml:space="preserve"> nameability condition (for locatio</w:t>
      </w:r>
      <w:r w:rsidRPr="000367E8">
        <w:rPr>
          <w:rFonts w:asciiTheme="majorHAnsi" w:eastAsia="Times New Roman" w:hAnsiTheme="majorHAnsi" w:cstheme="majorHAnsi"/>
          <w:sz w:val="24"/>
          <w:szCs w:val="24"/>
        </w:rPr>
        <w:t xml:space="preserve">ns), than in  </w:t>
      </w:r>
      <w:r w:rsidRPr="000367E8">
        <w:rPr>
          <w:rFonts w:asciiTheme="majorHAnsi" w:eastAsia="Times New Roman" w:hAnsiTheme="majorHAnsi" w:cstheme="majorHAnsi"/>
          <w:i/>
          <w:sz w:val="24"/>
          <w:szCs w:val="24"/>
        </w:rPr>
        <w:t>low</w:t>
      </w:r>
      <w:r w:rsidRPr="000367E8">
        <w:rPr>
          <w:rFonts w:asciiTheme="majorHAnsi" w:eastAsia="Times New Roman" w:hAnsiTheme="majorHAnsi" w:cstheme="majorHAnsi"/>
          <w:sz w:val="24"/>
          <w:szCs w:val="24"/>
        </w:rPr>
        <w:t xml:space="preserve"> nameability condition, F(1, 34)=4.551, p=0.04, ŋ</w:t>
      </w:r>
      <w:r w:rsidRPr="000367E8">
        <w:rPr>
          <w:rFonts w:asciiTheme="majorHAnsi" w:eastAsia="Times New Roman" w:hAnsiTheme="majorHAnsi" w:cstheme="majorHAnsi"/>
          <w:sz w:val="24"/>
          <w:szCs w:val="24"/>
          <w:vertAlign w:val="superscript"/>
        </w:rPr>
        <w:t>2</w:t>
      </w:r>
      <w:r w:rsidRPr="000367E8">
        <w:rPr>
          <w:rFonts w:asciiTheme="majorHAnsi" w:eastAsia="Times New Roman" w:hAnsiTheme="majorHAnsi" w:cstheme="majorHAnsi"/>
          <w:sz w:val="24"/>
          <w:szCs w:val="24"/>
          <w:vertAlign w:val="subscript"/>
        </w:rPr>
        <w:t>p</w:t>
      </w:r>
      <w:r w:rsidRPr="000367E8">
        <w:rPr>
          <w:rFonts w:asciiTheme="majorHAnsi" w:eastAsia="Times New Roman" w:hAnsiTheme="majorHAnsi" w:cstheme="majorHAnsi"/>
          <w:sz w:val="24"/>
          <w:szCs w:val="24"/>
        </w:rPr>
        <w:t xml:space="preserve">=0.118. </w:t>
      </w:r>
      <w:r w:rsidRPr="000367E8">
        <w:rPr>
          <w:rFonts w:asciiTheme="majorHAnsi" w:eastAsia="Times New Roman" w:hAnsiTheme="majorHAnsi" w:cstheme="majorHAnsi"/>
          <w:sz w:val="24"/>
          <w:szCs w:val="24"/>
          <w:highlight w:val="white"/>
        </w:rPr>
        <w:t>The difference between the conditions increased on the course of learning, F (2.426, 82.48) = 3.168, p = 0.038, 2p = 0.066. In the final block of learning trial, the difference bet</w:t>
      </w:r>
      <w:r w:rsidRPr="000367E8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ween the accuracy in </w:t>
      </w:r>
      <w:r w:rsidRPr="000367E8">
        <w:rPr>
          <w:rFonts w:asciiTheme="majorHAnsi" w:eastAsia="Times New Roman" w:hAnsiTheme="majorHAnsi" w:cstheme="majorHAnsi"/>
          <w:i/>
          <w:sz w:val="24"/>
          <w:szCs w:val="24"/>
          <w:highlight w:val="white"/>
        </w:rPr>
        <w:t>high</w:t>
      </w:r>
      <w:r w:rsidRPr="000367E8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 nameability condition  (M = 0.774, SD = 0.222) and low nameability condition (M = 0.597, SD = 0.205) became maximal. It  seems  that  names allow learners to remember new information. We explain the results by the fact that the pr</w:t>
      </w:r>
      <w:r w:rsidRPr="000367E8">
        <w:rPr>
          <w:rFonts w:asciiTheme="majorHAnsi" w:eastAsia="Times New Roman" w:hAnsiTheme="majorHAnsi" w:cstheme="majorHAnsi"/>
          <w:sz w:val="24"/>
          <w:szCs w:val="24"/>
          <w:highlight w:val="white"/>
        </w:rPr>
        <w:t>esence of convenient names makes it easier to compare the values of features with feedback during the search for a categorization rule</w:t>
      </w:r>
      <w:r w:rsidRPr="000367E8">
        <w:rPr>
          <w:rFonts w:asciiTheme="majorHAnsi" w:eastAsia="Times New Roman" w:hAnsiTheme="majorHAnsi" w:cstheme="majorHAnsi"/>
          <w:sz w:val="28"/>
          <w:szCs w:val="28"/>
          <w:highlight w:val="white"/>
        </w:rPr>
        <w:t>.</w:t>
      </w:r>
    </w:p>
    <w:p w:rsidR="00583DD0" w:rsidRPr="000367E8" w:rsidRDefault="00165FF1">
      <w:pPr>
        <w:spacing w:line="240" w:lineRule="auto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0367E8">
        <w:rPr>
          <w:rFonts w:asciiTheme="majorHAnsi" w:eastAsia="Times New Roman" w:hAnsiTheme="majorHAnsi" w:cstheme="majorHAnsi"/>
          <w:sz w:val="24"/>
          <w:szCs w:val="24"/>
          <w:highlight w:val="white"/>
        </w:rPr>
        <w:t>The research was prepared within the framework of the Academic Fund Program at the National Research University Higher S</w:t>
      </w:r>
      <w:r w:rsidRPr="000367E8">
        <w:rPr>
          <w:rFonts w:asciiTheme="majorHAnsi" w:eastAsia="Times New Roman" w:hAnsiTheme="majorHAnsi" w:cstheme="majorHAnsi"/>
          <w:sz w:val="24"/>
          <w:szCs w:val="24"/>
          <w:highlight w:val="white"/>
        </w:rPr>
        <w:t>chool of Economics (HSE) in 2018 (grant № 18-05-0001) and by the Russian Academic Excellence Project "5-100"</w:t>
      </w:r>
      <w:r w:rsidRPr="000367E8">
        <w:rPr>
          <w:rFonts w:asciiTheme="majorHAnsi" w:hAnsiTheme="majorHAnsi" w:cstheme="majorHAnsi"/>
          <w:sz w:val="24"/>
          <w:szCs w:val="24"/>
        </w:rPr>
        <w:t>.</w:t>
      </w:r>
    </w:p>
    <w:sectPr w:rsidR="00583DD0" w:rsidRPr="000367E8">
      <w:head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FF1" w:rsidRDefault="00165FF1">
      <w:pPr>
        <w:spacing w:line="240" w:lineRule="auto"/>
      </w:pPr>
      <w:r>
        <w:separator/>
      </w:r>
    </w:p>
  </w:endnote>
  <w:endnote w:type="continuationSeparator" w:id="0">
    <w:p w:rsidR="00165FF1" w:rsidRDefault="00165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FF1" w:rsidRDefault="00165FF1">
      <w:pPr>
        <w:spacing w:line="240" w:lineRule="auto"/>
      </w:pPr>
      <w:r>
        <w:separator/>
      </w:r>
    </w:p>
  </w:footnote>
  <w:footnote w:type="continuationSeparator" w:id="0">
    <w:p w:rsidR="00165FF1" w:rsidRDefault="00165F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DD0" w:rsidRDefault="00583DD0">
    <w:pPr>
      <w:contextualSpacing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3DD0"/>
    <w:rsid w:val="000367E8"/>
    <w:rsid w:val="00165FF1"/>
    <w:rsid w:val="0058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A819F6"/>
  <w15:docId w15:val="{6D37A97F-8C82-3945-B65F-3EC6661F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perpile.com/c/cKvznp/qbc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Alexey Kotov</cp:lastModifiedBy>
  <cp:revision>2</cp:revision>
  <dcterms:created xsi:type="dcterms:W3CDTF">2018-10-24T11:30:00Z</dcterms:created>
  <dcterms:modified xsi:type="dcterms:W3CDTF">2018-10-24T11:31:00Z</dcterms:modified>
</cp:coreProperties>
</file>