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2E" w:rsidRPr="0026642E" w:rsidRDefault="0026642E" w:rsidP="0026642E">
      <w:pPr>
        <w:shd w:val="clear" w:color="auto" w:fill="FFFFFF"/>
        <w:spacing w:before="192" w:line="360" w:lineRule="atLeast"/>
        <w:ind w:firstLine="708"/>
        <w:jc w:val="both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В качестве факторов дестабилизации в данном случае могут выступать</w:t>
      </w:r>
      <w:bookmarkStart w:id="0" w:name="_GoBack"/>
      <w:bookmarkEnd w:id="0"/>
      <w:r w:rsidRPr="0026642E">
        <w:rPr>
          <w:rFonts w:ascii="Helvetica Neue" w:hAnsi="Helvetica Neue" w:cs="Times New Roman"/>
          <w:color w:val="000000"/>
        </w:rPr>
        <w:t xml:space="preserve"> следующие: неудовлетворение постоянной безработицей и отсутствием хороших рабочих мест, недовольство коррупцией и кумовством, ограничение свобод в авторитарных государствах. При этом было отмечено, что восприятие счастья зависит как от объективных условий, так и от субъективных факторов. Если к первым относятся пол, возраст, семейное положение и уровень образования, то вторые связаны с ожиданиями относительно семейных отношений, работы, общественных институтов и т.д. В этом случае стоит особо подчеркнуть, что речь идет о субъективном восприятии населением каждого из указанных факторов. Так, по уровню безработицы или коррупции некоторые из арабских стран были на одном уровне со странами Евросоюза и США. Кроме того, в отношении безработицы в Египте наблюдалась следующая тенденция: после реформ 2004 г. она снижалась, впоследствии она немного выросла в период экономического кризиса, а после него снова стала снижаться. Но при этом уровень безработицы оставался высоким среди молодежи, численность которой продолжала расти. Что касается ограничения свобод, то в этом случае пример Египта также весьма показателен, так как в начале антиправительственных выступлений уровень свободы оценивался демонстрантами в сравнении с Западными странами, впоследствии же сами участники протестов в ходе интервью признавали, что в период президентства </w:t>
      </w:r>
      <w:proofErr w:type="spellStart"/>
      <w:r w:rsidRPr="0026642E">
        <w:rPr>
          <w:rFonts w:ascii="Helvetica Neue" w:hAnsi="Helvetica Neue" w:cs="Times New Roman"/>
          <w:color w:val="000000"/>
        </w:rPr>
        <w:t>Мубарака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ограничения были значительно слабее, чем после свержения его режима. Таким образом, есть основания полагать, что восстаниям Арабской весны предшествовало снижение удовлетворенности жизни и ощущения  счастья, несмотря на прогресс в экономическом развитии в последние несколько десятилетий. Кроме того, в ходе анализа стоит учитывать не только объективные условия, но и субъективное осознание недостатков в рамках этих условий.</w:t>
      </w:r>
    </w:p>
    <w:p w:rsidR="0026642E" w:rsidRPr="0026642E" w:rsidRDefault="0026642E" w:rsidP="0026642E">
      <w:pPr>
        <w:shd w:val="clear" w:color="auto" w:fill="FFFFFF"/>
        <w:spacing w:before="192" w:line="360" w:lineRule="atLeast"/>
        <w:jc w:val="both"/>
        <w:rPr>
          <w:rFonts w:ascii="Helvetica Neue" w:hAnsi="Helvetica Neue" w:cs="Times New Roman"/>
          <w:color w:val="000000"/>
        </w:rPr>
      </w:pPr>
      <w:r w:rsidRPr="0026642E">
        <w:rPr>
          <w:rFonts w:ascii="Helvetica Neue" w:hAnsi="Helvetica Neue" w:cs="Times New Roman"/>
          <w:color w:val="000000"/>
        </w:rPr>
        <w:t>         Это предположение оказывается весьма актуальным в свете анализа социально-политической нестабильности в арабском регионе. Так, данные всемирного научно-исследовательского проекта “Всемирный обзор ценностей”, исследующего ценности и убеждения людей и их изменения с течением времени, говорят о том, что по результатам опросов к моменту начала антиправительственных выступлений 2011 г. наибольшее число респондентов, отвечавших, что они чувствуют себя не очень счастливыми или совсем несчастливыми, лидируют такие страны как Египет, Йемен, Бахрейн и Ливан. При этом наименьшее количество таких ответов фиксируется в Ливии, Алжире, Марокко и Тунисе.</w:t>
      </w:r>
    </w:p>
    <w:p w:rsidR="0026642E" w:rsidRPr="0026642E" w:rsidRDefault="0026642E" w:rsidP="0026642E">
      <w:pPr>
        <w:shd w:val="clear" w:color="auto" w:fill="FFFFFF"/>
        <w:spacing w:before="192" w:line="360" w:lineRule="atLeast"/>
        <w:jc w:val="both"/>
        <w:rPr>
          <w:rFonts w:ascii="Helvetica Neue" w:hAnsi="Helvetica Neue" w:cs="Times New Roman"/>
          <w:color w:val="000000"/>
        </w:rPr>
      </w:pPr>
      <w:r w:rsidRPr="0026642E">
        <w:rPr>
          <w:rFonts w:ascii="Helvetica Neue" w:hAnsi="Helvetica Neue" w:cs="Times New Roman"/>
          <w:color w:val="000000"/>
        </w:rPr>
        <w:t xml:space="preserve">         Всемирная база данных счастья </w:t>
      </w:r>
      <w:proofErr w:type="spellStart"/>
      <w:r w:rsidRPr="0026642E">
        <w:rPr>
          <w:rFonts w:ascii="Helvetica Neue" w:hAnsi="Helvetica Neue" w:cs="Times New Roman"/>
          <w:color w:val="000000"/>
        </w:rPr>
        <w:t>Винховена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демонстрирует уровень субъективного восприятия счастья в рассматриваемом регионе. База данных </w:t>
      </w:r>
      <w:r w:rsidRPr="0026642E">
        <w:rPr>
          <w:rFonts w:ascii="Helvetica Neue" w:hAnsi="Helvetica Neue" w:cs="Times New Roman"/>
          <w:color w:val="000000"/>
        </w:rPr>
        <w:lastRenderedPageBreak/>
        <w:t>строится на опросах, в соответствии с которыми уровень счастья ранжируется в диапазоне от 1 до 4 либо от 1 до 10. Нами был использован последний вариант, так как именно в рамках него в базе данных были представлены данные по всем интересующим нас странам в период, предшествующий началу антиправительственных выступлений – в 2010 г. Так, была получена следующая информация:</w:t>
      </w:r>
    </w:p>
    <w:tbl>
      <w:tblPr>
        <w:tblW w:w="3735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316"/>
      </w:tblGrid>
      <w:tr w:rsidR="0026642E" w:rsidRPr="0026642E" w:rsidTr="0026642E">
        <w:trPr>
          <w:trHeight w:val="809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Страна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Субъективное ощущение счастья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Тунис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5,13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Египет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4,66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Ливия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4,92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Сирия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4,46</w:t>
            </w:r>
          </w:p>
        </w:tc>
      </w:tr>
      <w:tr w:rsidR="0026642E" w:rsidRPr="0026642E" w:rsidTr="0026642E">
        <w:trPr>
          <w:trHeight w:val="132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132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Бахрейн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132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6,1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Марокко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4,66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Алжир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5,34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Йемен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4,35</w:t>
            </w:r>
          </w:p>
        </w:tc>
      </w:tr>
      <w:tr w:rsidR="0026642E" w:rsidRPr="0026642E" w:rsidTr="0026642E">
        <w:trPr>
          <w:trHeight w:val="255"/>
        </w:trPr>
        <w:tc>
          <w:tcPr>
            <w:tcW w:w="1575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Ливан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60" w:lineRule="atLeast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5,0</w:t>
            </w:r>
          </w:p>
        </w:tc>
      </w:tr>
    </w:tbl>
    <w:p w:rsidR="0026642E" w:rsidRPr="0026642E" w:rsidRDefault="0026642E" w:rsidP="0026642E">
      <w:pPr>
        <w:shd w:val="clear" w:color="auto" w:fill="FFFFFF"/>
        <w:spacing w:before="192" w:line="360" w:lineRule="atLeast"/>
        <w:jc w:val="both"/>
        <w:rPr>
          <w:rFonts w:ascii="Helvetica Neue" w:hAnsi="Helvetica Neue" w:cs="Times New Roman"/>
          <w:color w:val="000000"/>
        </w:rPr>
      </w:pPr>
      <w:r w:rsidRPr="0026642E">
        <w:rPr>
          <w:rFonts w:ascii="Helvetica Neue" w:hAnsi="Helvetica Neue" w:cs="Times New Roman"/>
          <w:color w:val="000000"/>
        </w:rPr>
        <w:br/>
        <w:t xml:space="preserve">         Далее, перед нами встала задача </w:t>
      </w:r>
      <w:proofErr w:type="spellStart"/>
      <w:r w:rsidRPr="0026642E">
        <w:rPr>
          <w:rFonts w:ascii="Helvetica Neue" w:hAnsi="Helvetica Neue" w:cs="Times New Roman"/>
          <w:color w:val="000000"/>
        </w:rPr>
        <w:t>операционализации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отсутствия субъективного ощущения счастья в арабских странах в период перед началом антиправительственных выступлений Арабской весны и, </w:t>
      </w:r>
      <w:proofErr w:type="spellStart"/>
      <w:r w:rsidRPr="0026642E">
        <w:rPr>
          <w:rFonts w:ascii="Helvetica Neue" w:hAnsi="Helvetica Neue" w:cs="Times New Roman"/>
          <w:color w:val="000000"/>
        </w:rPr>
        <w:t>соответветственно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, относительных деприваций по теории Т. </w:t>
      </w:r>
      <w:proofErr w:type="spellStart"/>
      <w:r w:rsidRPr="0026642E">
        <w:rPr>
          <w:rFonts w:ascii="Helvetica Neue" w:hAnsi="Helvetica Neue" w:cs="Times New Roman"/>
          <w:color w:val="000000"/>
        </w:rPr>
        <w:t>Гарра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. Для этих целей мы сочли возможным обратиться к приведенному выше показателю субъективного ощущения счастья. Но так как нами не было обнаружено исследований, в которых этот фактор рассматривался бы как способ </w:t>
      </w:r>
      <w:proofErr w:type="spellStart"/>
      <w:r w:rsidRPr="0026642E">
        <w:rPr>
          <w:rFonts w:ascii="Helvetica Neue" w:hAnsi="Helvetica Neue" w:cs="Times New Roman"/>
          <w:color w:val="000000"/>
        </w:rPr>
        <w:t>операционализации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относительных деприваций, необходимо было протестировать эту гипотезу. Для этого был использован метод корреляционного анализа, в результате которого была получена слабая, но статистически значимая корреляция между уровнем субъективного ощущения счастья и уровнем социально-политической дестабилизации:</w:t>
      </w:r>
    </w:p>
    <w:tbl>
      <w:tblPr>
        <w:tblW w:w="40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662"/>
        <w:gridCol w:w="1245"/>
        <w:gridCol w:w="1601"/>
      </w:tblGrid>
      <w:tr w:rsidR="0026642E" w:rsidRPr="0026642E" w:rsidTr="0026642E"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center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b/>
                <w:bCs/>
                <w:color w:val="000000"/>
              </w:rPr>
              <w:t>Correlations</w:t>
            </w:r>
            <w:proofErr w:type="spellEnd"/>
          </w:p>
        </w:tc>
      </w:tr>
      <w:tr w:rsidR="0026642E" w:rsidRPr="0026642E" w:rsidTr="0026642E">
        <w:tc>
          <w:tcPr>
            <w:tcW w:w="31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center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Destab</w:t>
            </w:r>
            <w:proofErr w:type="spellEnd"/>
          </w:p>
        </w:tc>
        <w:tc>
          <w:tcPr>
            <w:tcW w:w="11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center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Happ2010</w:t>
            </w:r>
          </w:p>
        </w:tc>
      </w:tr>
      <w:tr w:rsidR="0026642E" w:rsidRPr="0026642E" w:rsidTr="0026642E">
        <w:tc>
          <w:tcPr>
            <w:tcW w:w="11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Destab</w:t>
            </w:r>
            <w:proofErr w:type="spellEnd"/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Pearson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-,438</w:t>
            </w:r>
            <w:r w:rsidRPr="0026642E">
              <w:rPr>
                <w:rFonts w:ascii="Helvetica Neue" w:hAnsi="Helvetica Neue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26642E" w:rsidRPr="0026642E" w:rsidTr="0026642E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42E" w:rsidRPr="0026642E" w:rsidRDefault="0026642E" w:rsidP="0026642E">
            <w:pPr>
              <w:rPr>
                <w:rFonts w:ascii="Helvetica Neue" w:hAnsi="Helvetica Neue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Sig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>. (1-tailed)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,035</w:t>
            </w:r>
          </w:p>
        </w:tc>
      </w:tr>
      <w:tr w:rsidR="0026642E" w:rsidRPr="0026642E" w:rsidTr="0026642E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42E" w:rsidRPr="0026642E" w:rsidRDefault="0026642E" w:rsidP="0026642E">
            <w:pPr>
              <w:rPr>
                <w:rFonts w:ascii="Helvetica Neue" w:hAnsi="Helvetica Neue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19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18</w:t>
            </w:r>
          </w:p>
        </w:tc>
      </w:tr>
      <w:tr w:rsidR="0026642E" w:rsidRPr="0026642E" w:rsidTr="0026642E">
        <w:tc>
          <w:tcPr>
            <w:tcW w:w="118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Happ2010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Pearson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Correlation</w:t>
            </w:r>
            <w:proofErr w:type="spellEnd"/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-,438</w:t>
            </w:r>
            <w:r w:rsidRPr="0026642E">
              <w:rPr>
                <w:rFonts w:ascii="Helvetica Neue" w:hAnsi="Helvetica Neue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</w:t>
            </w:r>
          </w:p>
        </w:tc>
      </w:tr>
      <w:tr w:rsidR="0026642E" w:rsidRPr="0026642E" w:rsidTr="0026642E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42E" w:rsidRPr="0026642E" w:rsidRDefault="0026642E" w:rsidP="0026642E">
            <w:pPr>
              <w:rPr>
                <w:rFonts w:ascii="Helvetica Neue" w:hAnsi="Helvetica Neue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Sig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>. (1-tailed)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,035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 </w:t>
            </w:r>
          </w:p>
        </w:tc>
      </w:tr>
      <w:tr w:rsidR="0026642E" w:rsidRPr="0026642E" w:rsidTr="0026642E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42E" w:rsidRPr="0026642E" w:rsidRDefault="0026642E" w:rsidP="0026642E">
            <w:pPr>
              <w:rPr>
                <w:rFonts w:ascii="Helvetica Neue" w:hAnsi="Helvetica Neue" w:cs="Times New Roman"/>
                <w:color w:val="00000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N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18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jc w:val="right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>18</w:t>
            </w:r>
          </w:p>
        </w:tc>
      </w:tr>
      <w:tr w:rsidR="0026642E" w:rsidRPr="0026642E" w:rsidTr="0026642E">
        <w:tc>
          <w:tcPr>
            <w:tcW w:w="5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6642E" w:rsidRPr="0026642E" w:rsidRDefault="0026642E" w:rsidP="0026642E">
            <w:pPr>
              <w:spacing w:before="192" w:line="320" w:lineRule="atLeast"/>
              <w:ind w:left="60" w:right="60"/>
              <w:rPr>
                <w:rFonts w:ascii="Helvetica Neue" w:hAnsi="Helvetica Neue" w:cs="Times New Roman"/>
                <w:color w:val="000000"/>
              </w:rPr>
            </w:pPr>
            <w:r w:rsidRPr="0026642E">
              <w:rPr>
                <w:rFonts w:ascii="Helvetica Neue" w:hAnsi="Helvetica Neue" w:cs="Times New Roman"/>
                <w:color w:val="000000"/>
              </w:rPr>
              <w:t xml:space="preserve">*.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Correlation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is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significant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at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the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0.05 </w:t>
            </w:r>
            <w:proofErr w:type="spellStart"/>
            <w:r w:rsidRPr="0026642E">
              <w:rPr>
                <w:rFonts w:ascii="Helvetica Neue" w:hAnsi="Helvetica Neue" w:cs="Times New Roman"/>
                <w:color w:val="000000"/>
              </w:rPr>
              <w:t>level</w:t>
            </w:r>
            <w:proofErr w:type="spellEnd"/>
            <w:r w:rsidRPr="0026642E">
              <w:rPr>
                <w:rFonts w:ascii="Helvetica Neue" w:hAnsi="Helvetica Neue" w:cs="Times New Roman"/>
                <w:color w:val="000000"/>
              </w:rPr>
              <w:t xml:space="preserve"> (1-tailed).</w:t>
            </w:r>
          </w:p>
        </w:tc>
      </w:tr>
    </w:tbl>
    <w:p w:rsidR="0026642E" w:rsidRPr="0026642E" w:rsidRDefault="0026642E" w:rsidP="0026642E">
      <w:pPr>
        <w:shd w:val="clear" w:color="auto" w:fill="FFFFFF"/>
        <w:spacing w:before="192"/>
        <w:jc w:val="both"/>
        <w:rPr>
          <w:rFonts w:ascii="Helvetica Neue" w:hAnsi="Helvetica Neue" w:cs="Times New Roman"/>
          <w:color w:val="000000"/>
        </w:rPr>
      </w:pPr>
      <w:r w:rsidRPr="0026642E">
        <w:rPr>
          <w:rFonts w:ascii="Helvetica Neue" w:hAnsi="Helvetica Neue" w:cs="Times New Roman"/>
          <w:color w:val="000000"/>
        </w:rPr>
        <w:t xml:space="preserve">            Данный анализ применялся по отношению к Арабскому миру в целом, т.е. двадцати двум странам – членам Лиги арабских государств. Этот результат позволяет нам сделать вывод о том, что </w:t>
      </w:r>
      <w:proofErr w:type="spellStart"/>
      <w:r w:rsidRPr="0026642E">
        <w:rPr>
          <w:rFonts w:ascii="Helvetica Neue" w:hAnsi="Helvetica Neue" w:cs="Times New Roman"/>
          <w:color w:val="000000"/>
        </w:rPr>
        <w:t>операционализация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относительных деприваций по теории Т. </w:t>
      </w:r>
      <w:proofErr w:type="spellStart"/>
      <w:r w:rsidRPr="0026642E">
        <w:rPr>
          <w:rFonts w:ascii="Helvetica Neue" w:hAnsi="Helvetica Neue" w:cs="Times New Roman"/>
          <w:color w:val="000000"/>
        </w:rPr>
        <w:t>Гарра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возможна на примере такого фактора как </w:t>
      </w:r>
      <w:proofErr w:type="spellStart"/>
      <w:r w:rsidRPr="0026642E">
        <w:rPr>
          <w:rFonts w:ascii="Helvetica Neue" w:hAnsi="Helvetica Neue" w:cs="Times New Roman"/>
          <w:color w:val="000000"/>
        </w:rPr>
        <w:t>суьъективное</w:t>
      </w:r>
      <w:proofErr w:type="spellEnd"/>
      <w:r w:rsidRPr="0026642E">
        <w:rPr>
          <w:rFonts w:ascii="Helvetica Neue" w:hAnsi="Helvetica Neue" w:cs="Times New Roman"/>
          <w:color w:val="000000"/>
        </w:rPr>
        <w:t xml:space="preserve"> ощущение счастья.</w:t>
      </w:r>
    </w:p>
    <w:p w:rsidR="000C75B3" w:rsidRDefault="000C75B3"/>
    <w:sectPr w:rsidR="000C75B3" w:rsidSect="00C535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2E"/>
    <w:rsid w:val="000C75B3"/>
    <w:rsid w:val="0026642E"/>
    <w:rsid w:val="00C5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F9A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">
    <w:name w:val="text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astchild">
    <w:name w:val="last_child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">
    <w:name w:val="text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lastchild">
    <w:name w:val="last_child"/>
    <w:basedOn w:val="a"/>
    <w:rsid w:val="002664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3848</Characters>
  <Application>Microsoft Macintosh Word</Application>
  <DocSecurity>0</DocSecurity>
  <Lines>32</Lines>
  <Paragraphs>9</Paragraphs>
  <ScaleCrop>false</ScaleCrop>
  <Company>niuvshe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Шишкина</dc:creator>
  <cp:keywords/>
  <dc:description/>
  <cp:lastModifiedBy>Алиса Шишкина</cp:lastModifiedBy>
  <cp:revision>1</cp:revision>
  <dcterms:created xsi:type="dcterms:W3CDTF">2017-10-29T00:11:00Z</dcterms:created>
  <dcterms:modified xsi:type="dcterms:W3CDTF">2017-10-29T00:11:00Z</dcterms:modified>
</cp:coreProperties>
</file>